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301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103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Гамзата </w:t>
      </w:r>
      <w:r>
        <w:rPr>
          <w:rFonts w:ascii="Times New Roman" w:eastAsia="Times New Roman" w:hAnsi="Times New Roman" w:cs="Times New Roman"/>
          <w:sz w:val="26"/>
          <w:szCs w:val="26"/>
        </w:rPr>
        <w:t>Алхасовича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Маштаев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28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18810564230928222992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Маштаев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№ 484611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18810564230928222992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-параметры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Лада 217030 Лада Приора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</w:t>
      </w:r>
      <w:r>
        <w:rPr>
          <w:rFonts w:ascii="Times New Roman" w:eastAsia="Times New Roman" w:hAnsi="Times New Roman" w:cs="Times New Roman"/>
          <w:sz w:val="26"/>
          <w:szCs w:val="26"/>
        </w:rPr>
        <w:t>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предусмотренных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Маштаеву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Маштаева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Гамзата </w:t>
      </w:r>
      <w:r>
        <w:rPr>
          <w:rFonts w:ascii="Times New Roman" w:eastAsia="Times New Roman" w:hAnsi="Times New Roman" w:cs="Times New Roman"/>
          <w:sz w:val="26"/>
          <w:szCs w:val="26"/>
        </w:rPr>
        <w:t>Алхасовича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0412365400235001032420162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0412365400235001032420162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103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103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